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5B10" w14:textId="77777777" w:rsidR="00305E4E" w:rsidRDefault="00305E4E" w:rsidP="00305E4E">
      <w:pPr>
        <w:jc w:val="right"/>
        <w:rPr>
          <w:i/>
        </w:rPr>
      </w:pPr>
      <w:r w:rsidRPr="00ED2FC7">
        <w:rPr>
          <w:i/>
        </w:rPr>
        <w:t>LĒMUMA PROJEKTS</w:t>
      </w:r>
    </w:p>
    <w:p w14:paraId="647F42E3" w14:textId="77777777" w:rsidR="00305E4E" w:rsidRPr="00AF1A2C" w:rsidRDefault="00305E4E" w:rsidP="00305E4E">
      <w:pPr>
        <w:rPr>
          <w:i/>
          <w:u w:val="single"/>
        </w:rPr>
      </w:pPr>
    </w:p>
    <w:p w14:paraId="0135E2A6" w14:textId="77777777" w:rsidR="00502468" w:rsidRPr="00502468" w:rsidRDefault="00305E4E" w:rsidP="00502468">
      <w:pPr>
        <w:jc w:val="center"/>
        <w:rPr>
          <w:rFonts w:eastAsiaTheme="minorHAnsi"/>
          <w:b/>
          <w:lang w:eastAsia="en-US"/>
        </w:rPr>
      </w:pPr>
      <w:r w:rsidRPr="00502468">
        <w:rPr>
          <w:b/>
        </w:rPr>
        <w:t xml:space="preserve">Par </w:t>
      </w:r>
      <w:r w:rsidR="00502468" w:rsidRPr="00502468">
        <w:rPr>
          <w:rFonts w:eastAsiaTheme="minorHAnsi"/>
          <w:b/>
          <w:lang w:eastAsia="en-US"/>
        </w:rPr>
        <w:t>nodibinājuma “Vidzemes attīstības aģentūra”</w:t>
      </w:r>
      <w:r w:rsidR="00C34928">
        <w:rPr>
          <w:rFonts w:eastAsiaTheme="minorHAnsi"/>
          <w:b/>
          <w:lang w:eastAsia="en-US"/>
        </w:rPr>
        <w:t xml:space="preserve"> </w:t>
      </w:r>
      <w:r w:rsidR="00C34928" w:rsidRPr="006B53D5">
        <w:rPr>
          <w:rFonts w:eastAsiaTheme="minorHAnsi"/>
          <w:b/>
          <w:lang w:eastAsia="en-US"/>
        </w:rPr>
        <w:t>likvidāciju</w:t>
      </w:r>
    </w:p>
    <w:p w14:paraId="63F40D07" w14:textId="77777777" w:rsidR="00305E4E" w:rsidRPr="00AF1A2C" w:rsidRDefault="00305E4E" w:rsidP="00305E4E">
      <w:pPr>
        <w:spacing w:after="120"/>
        <w:jc w:val="both"/>
        <w:rPr>
          <w:b/>
        </w:rPr>
      </w:pPr>
    </w:p>
    <w:p w14:paraId="24A4AC9C" w14:textId="77777777" w:rsidR="00A00746" w:rsidRDefault="00A00746" w:rsidP="00977ECC">
      <w:pPr>
        <w:jc w:val="both"/>
      </w:pPr>
      <w:bookmarkStart w:id="0" w:name="_Hlk3530740"/>
      <w:r>
        <w:rPr>
          <w:rFonts w:eastAsia="Calibri"/>
          <w:iCs/>
          <w:kern w:val="3"/>
          <w:lang w:eastAsia="zh-CN" w:bidi="hi-IN"/>
        </w:rPr>
        <w:t>Izvērtējot Alūksnes novada pašvaldības</w:t>
      </w:r>
      <w:r w:rsidR="00A5679D">
        <w:rPr>
          <w:rFonts w:eastAsia="Calibri"/>
          <w:iCs/>
          <w:kern w:val="3"/>
          <w:lang w:eastAsia="zh-CN" w:bidi="hi-IN"/>
        </w:rPr>
        <w:t>, turpmāk – pašvaldība,</w:t>
      </w:r>
      <w:r>
        <w:rPr>
          <w:rFonts w:eastAsia="Calibri"/>
          <w:iCs/>
          <w:kern w:val="3"/>
          <w:lang w:eastAsia="zh-CN" w:bidi="hi-IN"/>
        </w:rPr>
        <w:t xml:space="preserve"> dalību </w:t>
      </w:r>
      <w:r w:rsidR="000A5C1D">
        <w:rPr>
          <w:rFonts w:eastAsia="Calibri"/>
          <w:iCs/>
          <w:kern w:val="3"/>
          <w:lang w:eastAsia="zh-CN" w:bidi="hi-IN"/>
        </w:rPr>
        <w:t>nodibinājumā</w:t>
      </w:r>
      <w:r>
        <w:rPr>
          <w:rFonts w:eastAsia="Calibri"/>
          <w:iCs/>
          <w:kern w:val="3"/>
          <w:lang w:eastAsia="zh-CN" w:bidi="hi-IN"/>
        </w:rPr>
        <w:t xml:space="preserve"> “</w:t>
      </w:r>
      <w:r w:rsidR="000A5C1D">
        <w:rPr>
          <w:rFonts w:eastAsia="Calibri"/>
          <w:iCs/>
          <w:kern w:val="3"/>
          <w:lang w:eastAsia="zh-CN" w:bidi="hi-IN"/>
        </w:rPr>
        <w:t>Vidzemes attīstības aģentūra</w:t>
      </w:r>
      <w:r>
        <w:rPr>
          <w:rFonts w:eastAsia="Calibri"/>
          <w:iCs/>
          <w:kern w:val="3"/>
          <w:lang w:eastAsia="zh-CN" w:bidi="hi-IN"/>
        </w:rPr>
        <w:t>”, reģistrācijas Nr.</w:t>
      </w:r>
      <w:r w:rsidR="000A5C1D">
        <w:t xml:space="preserve"> </w:t>
      </w:r>
      <w:r w:rsidR="000A5C1D" w:rsidRPr="00F14240">
        <w:t>44103020016</w:t>
      </w:r>
      <w:r>
        <w:t xml:space="preserve">, turpmāk – </w:t>
      </w:r>
      <w:r w:rsidR="000A5C1D">
        <w:t>Nodibinājums</w:t>
      </w:r>
      <w:r w:rsidR="00A5679D">
        <w:t>,</w:t>
      </w:r>
      <w:r>
        <w:t xml:space="preserve"> konstatē</w:t>
      </w:r>
      <w:r w:rsidR="000A5C1D">
        <w:t>ts</w:t>
      </w:r>
      <w:r>
        <w:t>:</w:t>
      </w:r>
    </w:p>
    <w:p w14:paraId="5C7E9D69" w14:textId="77777777" w:rsidR="00F80F5F" w:rsidRDefault="00977ECC" w:rsidP="000A5C1D">
      <w:pPr>
        <w:widowControl w:val="0"/>
        <w:suppressAutoHyphens/>
        <w:autoSpaceDN w:val="0"/>
        <w:ind w:firstLine="426"/>
        <w:jc w:val="both"/>
        <w:textAlignment w:val="baseline"/>
        <w:rPr>
          <w:rFonts w:eastAsia="Calibri"/>
          <w:iCs/>
          <w:kern w:val="3"/>
          <w:highlight w:val="yellow"/>
          <w:lang w:eastAsia="zh-CN" w:bidi="hi-IN"/>
        </w:rPr>
      </w:pPr>
      <w:r>
        <w:rPr>
          <w:rFonts w:eastAsia="Calibri"/>
          <w:iCs/>
          <w:kern w:val="3"/>
          <w:lang w:eastAsia="zh-CN" w:bidi="hi-IN"/>
        </w:rPr>
        <w:t xml:space="preserve"> </w:t>
      </w:r>
      <w:r w:rsidR="00A5679D">
        <w:rPr>
          <w:rFonts w:eastAsia="Calibri"/>
          <w:iCs/>
          <w:kern w:val="3"/>
          <w:lang w:eastAsia="zh-CN" w:bidi="hi-IN"/>
        </w:rPr>
        <w:t>[</w:t>
      </w:r>
      <w:r>
        <w:rPr>
          <w:rFonts w:eastAsia="Calibri"/>
          <w:iCs/>
          <w:kern w:val="3"/>
          <w:lang w:eastAsia="zh-CN" w:bidi="hi-IN"/>
        </w:rPr>
        <w:t>1</w:t>
      </w:r>
      <w:r w:rsidR="00A5679D" w:rsidRPr="00A5679D">
        <w:rPr>
          <w:rFonts w:eastAsia="Calibri"/>
          <w:iCs/>
          <w:kern w:val="3"/>
          <w:lang w:eastAsia="zh-CN" w:bidi="hi-IN"/>
        </w:rPr>
        <w:t xml:space="preserve">.] </w:t>
      </w:r>
      <w:r w:rsidR="00124131">
        <w:rPr>
          <w:rFonts w:eastAsia="Calibri"/>
          <w:iCs/>
          <w:kern w:val="3"/>
          <w:lang w:eastAsia="zh-CN" w:bidi="hi-IN"/>
        </w:rPr>
        <w:t xml:space="preserve">Atbilstoši </w:t>
      </w:r>
      <w:r w:rsidR="000A5C1D">
        <w:rPr>
          <w:rFonts w:eastAsia="Calibri"/>
          <w:iCs/>
          <w:kern w:val="3"/>
          <w:lang w:eastAsia="zh-CN" w:bidi="hi-IN"/>
        </w:rPr>
        <w:t>Nodibinājum</w:t>
      </w:r>
      <w:r w:rsidR="00124131">
        <w:rPr>
          <w:rFonts w:eastAsia="Calibri"/>
          <w:iCs/>
          <w:kern w:val="3"/>
          <w:lang w:eastAsia="zh-CN" w:bidi="hi-IN"/>
        </w:rPr>
        <w:t xml:space="preserve">a statūtiem, to </w:t>
      </w:r>
      <w:r w:rsidR="000A5C1D">
        <w:rPr>
          <w:rFonts w:eastAsia="Calibri"/>
          <w:iCs/>
          <w:kern w:val="3"/>
          <w:lang w:eastAsia="zh-CN" w:bidi="hi-IN"/>
        </w:rPr>
        <w:t xml:space="preserve"> 2000.gadā dibinājušas 7 rajonu padomes (Alūksnes, Cēsu, Gulbenes, Limbažu, Madonas, Valkas un Valmieras rajona padome), ar mērķi plānot, veicināt un realizēt visa Vidzemes reģiona līdzsvarotu un </w:t>
      </w:r>
      <w:proofErr w:type="spellStart"/>
      <w:r w:rsidR="000A5C1D">
        <w:rPr>
          <w:rFonts w:eastAsia="Calibri"/>
          <w:iCs/>
          <w:kern w:val="3"/>
          <w:lang w:eastAsia="zh-CN" w:bidi="hi-IN"/>
        </w:rPr>
        <w:t>ilgspējīgu</w:t>
      </w:r>
      <w:proofErr w:type="spellEnd"/>
      <w:r w:rsidR="000A5C1D">
        <w:rPr>
          <w:rFonts w:eastAsia="Calibri"/>
          <w:iCs/>
          <w:kern w:val="3"/>
          <w:lang w:eastAsia="zh-CN" w:bidi="hi-IN"/>
        </w:rPr>
        <w:t xml:space="preserve"> attīstību.</w:t>
      </w:r>
    </w:p>
    <w:p w14:paraId="00699C97" w14:textId="77777777" w:rsidR="000A5C1D" w:rsidRPr="000A5C1D" w:rsidRDefault="000A5C1D" w:rsidP="000A5C1D">
      <w:pPr>
        <w:widowControl w:val="0"/>
        <w:suppressAutoHyphens/>
        <w:autoSpaceDN w:val="0"/>
        <w:ind w:firstLine="426"/>
        <w:jc w:val="both"/>
        <w:textAlignment w:val="baseline"/>
      </w:pPr>
      <w:r>
        <w:t xml:space="preserve">[2.] Pēc </w:t>
      </w:r>
      <w:r w:rsidRPr="000A5C1D">
        <w:rPr>
          <w:i/>
        </w:rPr>
        <w:t>Lursoft</w:t>
      </w:r>
      <w:r>
        <w:t xml:space="preserve"> pieejamās informācijas redzams, ka kopš 2014.gada nav iesniegta gada pārskata informācija, kā arī kopš 2016.gada 29.februāra Nodibinājumam nav aktuālu amatpersonu. </w:t>
      </w:r>
    </w:p>
    <w:p w14:paraId="6EA8FF5B" w14:textId="77777777" w:rsidR="009D0F57" w:rsidRPr="000A5C1D" w:rsidRDefault="00977ECC" w:rsidP="000A5C1D">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 </w:t>
      </w:r>
      <w:r w:rsidR="009D0F57">
        <w:rPr>
          <w:rFonts w:eastAsia="Calibri"/>
          <w:iCs/>
          <w:kern w:val="3"/>
          <w:lang w:eastAsia="zh-CN" w:bidi="hi-IN"/>
        </w:rPr>
        <w:t>[</w:t>
      </w:r>
      <w:r w:rsidR="00826897">
        <w:rPr>
          <w:rFonts w:eastAsia="Calibri"/>
          <w:iCs/>
          <w:kern w:val="3"/>
          <w:lang w:eastAsia="zh-CN" w:bidi="hi-IN"/>
        </w:rPr>
        <w:t>3</w:t>
      </w:r>
      <w:r w:rsidR="009D0F57">
        <w:rPr>
          <w:rFonts w:eastAsia="Calibri"/>
          <w:iCs/>
          <w:kern w:val="3"/>
          <w:lang w:eastAsia="zh-CN" w:bidi="hi-IN"/>
        </w:rPr>
        <w:t>.]</w:t>
      </w:r>
      <w:r w:rsidR="000A5C1D">
        <w:rPr>
          <w:rFonts w:eastAsia="Calibri"/>
          <w:iCs/>
          <w:kern w:val="3"/>
          <w:lang w:eastAsia="zh-CN" w:bidi="hi-IN"/>
        </w:rPr>
        <w:t xml:space="preserve"> </w:t>
      </w:r>
      <w:r w:rsidR="00F80F5F">
        <w:rPr>
          <w:rFonts w:eastAsia="Calibri"/>
          <w:iCs/>
          <w:kern w:val="3"/>
          <w:lang w:eastAsia="zh-CN" w:bidi="hi-IN"/>
        </w:rPr>
        <w:t xml:space="preserve">Atbilstoši </w:t>
      </w:r>
      <w:r w:rsidR="009D0F57">
        <w:rPr>
          <w:rFonts w:eastAsia="Calibri"/>
          <w:iCs/>
          <w:kern w:val="3"/>
          <w:lang w:eastAsia="zh-CN" w:bidi="hi-IN"/>
        </w:rPr>
        <w:t xml:space="preserve">Pašvaldību likuma 79.panta </w:t>
      </w:r>
      <w:r w:rsidR="00F80F5F">
        <w:rPr>
          <w:rFonts w:eastAsia="Calibri"/>
          <w:iCs/>
          <w:kern w:val="3"/>
          <w:lang w:eastAsia="zh-CN" w:bidi="hi-IN"/>
        </w:rPr>
        <w:t xml:space="preserve">pirmajai un </w:t>
      </w:r>
      <w:r w:rsidR="009D0F57">
        <w:rPr>
          <w:rFonts w:eastAsia="Calibri"/>
          <w:iCs/>
          <w:kern w:val="3"/>
          <w:lang w:eastAsia="zh-CN" w:bidi="hi-IN"/>
        </w:rPr>
        <w:t>treš</w:t>
      </w:r>
      <w:r w:rsidR="00F80F5F">
        <w:rPr>
          <w:rFonts w:eastAsia="Calibri"/>
          <w:iCs/>
          <w:kern w:val="3"/>
          <w:lang w:eastAsia="zh-CN" w:bidi="hi-IN"/>
        </w:rPr>
        <w:t>ajai</w:t>
      </w:r>
      <w:r w:rsidR="009D0F57">
        <w:rPr>
          <w:rFonts w:eastAsia="Calibri"/>
          <w:iCs/>
          <w:kern w:val="3"/>
          <w:lang w:eastAsia="zh-CN" w:bidi="hi-IN"/>
        </w:rPr>
        <w:t xml:space="preserve"> daļa</w:t>
      </w:r>
      <w:r w:rsidR="00F80F5F">
        <w:rPr>
          <w:rFonts w:eastAsia="Calibri"/>
          <w:iCs/>
          <w:kern w:val="3"/>
          <w:lang w:eastAsia="zh-CN" w:bidi="hi-IN"/>
        </w:rPr>
        <w:t>i</w:t>
      </w:r>
      <w:r w:rsidR="00F80F5F" w:rsidRPr="008D5264">
        <w:rPr>
          <w:rFonts w:eastAsia="Calibri"/>
          <w:iCs/>
          <w:kern w:val="3"/>
          <w:lang w:eastAsia="zh-CN" w:bidi="hi-IN"/>
        </w:rPr>
        <w:t>, pašvaldību kopīgu interešu īstenošanai pašvaldības var dibināt kopīgas biedrības un nodibinājumus, ievērojot Pašvaldību likumā un Biedrību un nodibinājumu likumā</w:t>
      </w:r>
      <w:r w:rsidR="008D5264">
        <w:rPr>
          <w:rFonts w:eastAsia="Calibri"/>
          <w:iCs/>
          <w:kern w:val="3"/>
          <w:lang w:eastAsia="zh-CN" w:bidi="hi-IN"/>
        </w:rPr>
        <w:t xml:space="preserve"> noteikto</w:t>
      </w:r>
      <w:r w:rsidR="00F80F5F" w:rsidRPr="008D5264">
        <w:rPr>
          <w:rFonts w:eastAsia="Calibri"/>
          <w:iCs/>
          <w:kern w:val="3"/>
          <w:lang w:eastAsia="zh-CN" w:bidi="hi-IN"/>
        </w:rPr>
        <w:t>. D</w:t>
      </w:r>
      <w:r w:rsidR="009D0F57" w:rsidRPr="008D5264">
        <w:rPr>
          <w:rFonts w:eastAsia="Calibri"/>
          <w:iCs/>
          <w:kern w:val="3"/>
          <w:lang w:eastAsia="zh-CN" w:bidi="hi-IN"/>
        </w:rPr>
        <w:t>ome var lemt par pašvaldības dalību biedrībā vai nodibinājumā, kas neatbilst šā panta pirmajā daļā noteiktajam, ja pašvaldības dalību biedrībā vai nodibinājumā paredz starptautiskie normatīvie akti, likums vai Ministru kabineta noteikumi vai pašvaldības dalība ir nepieciešama sabiedrības virzītas vietējās attīstības īstenošanai.</w:t>
      </w:r>
    </w:p>
    <w:p w14:paraId="6459303B" w14:textId="77777777" w:rsidR="00BA33D9" w:rsidRDefault="00BA33D9"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w:t>
      </w:r>
      <w:r w:rsidR="00826897">
        <w:rPr>
          <w:rFonts w:eastAsia="Calibri"/>
          <w:iCs/>
          <w:kern w:val="3"/>
          <w:lang w:eastAsia="zh-CN" w:bidi="hi-IN"/>
        </w:rPr>
        <w:t>5</w:t>
      </w:r>
      <w:r>
        <w:rPr>
          <w:rFonts w:eastAsia="Calibri"/>
          <w:iCs/>
          <w:kern w:val="3"/>
          <w:lang w:eastAsia="zh-CN" w:bidi="hi-IN"/>
        </w:rPr>
        <w:t xml:space="preserve">.] Pašvaldību likuma pārejas noteikumu 10.punkts noteic, ka pašvaldības līdz 2023.gada 30.jūnijam likvidē to izveidotās biedrības un nodibinājumus, kas neatbilst </w:t>
      </w:r>
      <w:r w:rsidR="00F80F5F">
        <w:rPr>
          <w:rFonts w:eastAsia="Calibri"/>
          <w:iCs/>
          <w:kern w:val="3"/>
          <w:lang w:eastAsia="zh-CN" w:bidi="hi-IN"/>
        </w:rPr>
        <w:t>Pašvaldību</w:t>
      </w:r>
      <w:r>
        <w:rPr>
          <w:rFonts w:eastAsia="Calibri"/>
          <w:iCs/>
          <w:kern w:val="3"/>
          <w:lang w:eastAsia="zh-CN" w:bidi="hi-IN"/>
        </w:rPr>
        <w:t xml:space="preserve"> likuma 79.pantā noteiktajam, vai izbeidz savu dalību šādās biedrībās un nodibinājumos.</w:t>
      </w:r>
    </w:p>
    <w:p w14:paraId="4C9C3E7F" w14:textId="77777777" w:rsidR="00BA33D9" w:rsidRDefault="00BA33D9"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w:t>
      </w:r>
      <w:r w:rsidR="00826897">
        <w:rPr>
          <w:rFonts w:eastAsia="Calibri"/>
          <w:iCs/>
          <w:kern w:val="3"/>
          <w:lang w:eastAsia="zh-CN" w:bidi="hi-IN"/>
        </w:rPr>
        <w:t>6</w:t>
      </w:r>
      <w:r>
        <w:rPr>
          <w:rFonts w:eastAsia="Calibri"/>
          <w:iCs/>
          <w:kern w:val="3"/>
          <w:lang w:eastAsia="zh-CN" w:bidi="hi-IN"/>
        </w:rPr>
        <w:t>.] Pašvaldību likuma 10.panta pirmās daļas 9.punkts noteic, ka domes kompetencē ir likumā noteiktajā kārtībā izveidot, reorganizēt un likvidēt pašvaldības kapitālsabiedrības un nodibinājumus, kā arī lemt par dalību kapitālsabiedrībās, biedrībās un nodibinājumos.</w:t>
      </w:r>
    </w:p>
    <w:p w14:paraId="211659AB" w14:textId="77777777" w:rsidR="00124131" w:rsidRDefault="00381A3E" w:rsidP="00124131">
      <w:pPr>
        <w:pStyle w:val="tv213"/>
        <w:shd w:val="clear" w:color="auto" w:fill="FFFFFF"/>
        <w:spacing w:before="0" w:beforeAutospacing="0" w:after="0" w:afterAutospacing="0" w:line="293" w:lineRule="atLeast"/>
        <w:ind w:firstLine="426"/>
        <w:jc w:val="both"/>
        <w:rPr>
          <w:rFonts w:ascii="Arial" w:hAnsi="Arial" w:cs="Arial"/>
          <w:color w:val="414142"/>
          <w:sz w:val="20"/>
          <w:szCs w:val="20"/>
        </w:rPr>
      </w:pPr>
      <w:r>
        <w:rPr>
          <w:rFonts w:eastAsia="Calibri"/>
          <w:iCs/>
          <w:kern w:val="3"/>
          <w:lang w:eastAsia="zh-CN" w:bidi="hi-IN"/>
        </w:rPr>
        <w:t>[</w:t>
      </w:r>
      <w:r w:rsidR="00826897">
        <w:rPr>
          <w:rFonts w:eastAsia="Calibri"/>
          <w:iCs/>
          <w:kern w:val="3"/>
          <w:lang w:eastAsia="zh-CN" w:bidi="hi-IN"/>
        </w:rPr>
        <w:t>7</w:t>
      </w:r>
      <w:r>
        <w:rPr>
          <w:rFonts w:eastAsia="Calibri"/>
          <w:iCs/>
          <w:kern w:val="3"/>
          <w:lang w:eastAsia="zh-CN" w:bidi="hi-IN"/>
        </w:rPr>
        <w:t>.] Biedrību un nodibinājuma likuma</w:t>
      </w:r>
      <w:r w:rsidR="00124131">
        <w:rPr>
          <w:rFonts w:eastAsia="Calibri"/>
          <w:iCs/>
          <w:kern w:val="3"/>
          <w:lang w:eastAsia="zh-CN" w:bidi="hi-IN"/>
        </w:rPr>
        <w:t xml:space="preserve"> 104.pants noteic, ka nodibinājuma darbība izbeidzas ar tiesas nolēmumu; izbeidzoties termiņam (ja nodibinājums dibināts uz noteiktu laiku); ar valdes lēmumu; uzsākot nodibinājuma bankrota procedūru; uz cita likumā vai statūtos noteiktā pamata. </w:t>
      </w:r>
      <w:r>
        <w:rPr>
          <w:rFonts w:eastAsia="Calibri"/>
          <w:iCs/>
          <w:kern w:val="3"/>
          <w:lang w:eastAsia="zh-CN" w:bidi="hi-IN"/>
        </w:rPr>
        <w:t xml:space="preserve"> </w:t>
      </w:r>
    </w:p>
    <w:p w14:paraId="717AAC31" w14:textId="77777777" w:rsidR="00826897" w:rsidRDefault="00826897" w:rsidP="00124131">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[8.] Atbilstoši </w:t>
      </w:r>
      <w:r w:rsidR="00124131">
        <w:rPr>
          <w:rFonts w:eastAsia="Calibri"/>
          <w:iCs/>
          <w:kern w:val="3"/>
          <w:lang w:eastAsia="zh-CN" w:bidi="hi-IN"/>
        </w:rPr>
        <w:t xml:space="preserve">Nodibinājuma </w:t>
      </w:r>
      <w:r>
        <w:rPr>
          <w:rFonts w:eastAsia="Calibri"/>
          <w:iCs/>
          <w:kern w:val="3"/>
          <w:lang w:eastAsia="zh-CN" w:bidi="hi-IN"/>
        </w:rPr>
        <w:t xml:space="preserve">statūtiem </w:t>
      </w:r>
      <w:r w:rsidR="00124131">
        <w:t>Nodibinājuma darbība izbeidzas ar tiesas nolēmumu; uzsākot Nodibinājuma bankrota procedūru; ar dibinātāju sapulces lēmumu, ja Nodibinājuma mērķu sasniegšanai likumdošanā tiek noteikta cita kārtība un forma. Lēmumu par Nodibinājuma likvidāciju pieņem dibinātāju sapulce.</w:t>
      </w:r>
      <w:r>
        <w:t xml:space="preserve"> </w:t>
      </w:r>
    </w:p>
    <w:p w14:paraId="0A2CC10D" w14:textId="77777777" w:rsidR="00A613C9" w:rsidRDefault="00F80F5F" w:rsidP="00133097">
      <w:pPr>
        <w:widowControl w:val="0"/>
        <w:suppressAutoHyphens/>
        <w:autoSpaceDN w:val="0"/>
        <w:jc w:val="both"/>
        <w:textAlignment w:val="baseline"/>
        <w:rPr>
          <w:rFonts w:eastAsia="Calibri"/>
          <w:iCs/>
          <w:kern w:val="3"/>
          <w:lang w:eastAsia="zh-CN" w:bidi="hi-IN"/>
        </w:rPr>
      </w:pPr>
      <w:r>
        <w:rPr>
          <w:rFonts w:eastAsia="Calibri"/>
          <w:iCs/>
          <w:kern w:val="3"/>
          <w:lang w:eastAsia="zh-CN" w:bidi="hi-IN"/>
        </w:rPr>
        <w:tab/>
        <w:t xml:space="preserve">Izvērtējot pašvaldības dalību Biedrībā, secināms, ka </w:t>
      </w:r>
      <w:r w:rsidR="00124131">
        <w:rPr>
          <w:rFonts w:eastAsia="Calibri"/>
          <w:iCs/>
          <w:kern w:val="3"/>
          <w:lang w:eastAsia="zh-CN" w:bidi="hi-IN"/>
        </w:rPr>
        <w:t>tā atbilst Pašvaldību likuma 79.panta pirmajai daļai, jo dibinātāji ir tikai pašvaldības</w:t>
      </w:r>
      <w:r w:rsidR="00A613C9">
        <w:rPr>
          <w:rFonts w:eastAsia="Calibri"/>
          <w:iCs/>
          <w:kern w:val="3"/>
          <w:lang w:eastAsia="zh-CN" w:bidi="hi-IN"/>
        </w:rPr>
        <w:t xml:space="preserve">, tomēr secināms, ka Nodibinājums savu darbību ne faktiski, ne pēc būtības neveic jau kopš 2014.gada, jo nav iesniegta gada pārskatu informācija, kā arī kopš 2016.gada 29.februāra Nodibinājumam nav aktuālu amatpersonu. Pašvaldība Nodibinājuma darbības mērķus sasniedz caur dalību citās organizācijās. </w:t>
      </w:r>
    </w:p>
    <w:p w14:paraId="71F6BCE7" w14:textId="77777777" w:rsidR="00305E4E" w:rsidRDefault="00E74824" w:rsidP="0013309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Ņemot vērā iepriekš minēto un p</w:t>
      </w:r>
      <w:r w:rsidR="00305E4E">
        <w:rPr>
          <w:rFonts w:eastAsia="Calibri"/>
          <w:iCs/>
          <w:kern w:val="3"/>
          <w:lang w:eastAsia="zh-CN" w:bidi="hi-IN"/>
        </w:rPr>
        <w:t xml:space="preserve">amatojoties uz Pašvaldību likuma 10. panta pirmās daļas </w:t>
      </w:r>
      <w:r>
        <w:rPr>
          <w:rFonts w:eastAsia="Calibri"/>
          <w:iCs/>
          <w:kern w:val="3"/>
          <w:lang w:eastAsia="zh-CN" w:bidi="hi-IN"/>
        </w:rPr>
        <w:t>9</w:t>
      </w:r>
      <w:r w:rsidR="00305E4E">
        <w:rPr>
          <w:rFonts w:eastAsia="Calibri"/>
          <w:iCs/>
          <w:kern w:val="3"/>
          <w:lang w:eastAsia="zh-CN" w:bidi="hi-IN"/>
        </w:rPr>
        <w:t xml:space="preserve">.punktu, </w:t>
      </w:r>
      <w:bookmarkEnd w:id="0"/>
    </w:p>
    <w:p w14:paraId="21B9D811" w14:textId="77777777" w:rsidR="00305E4E" w:rsidRDefault="00305E4E" w:rsidP="00305E4E">
      <w:pPr>
        <w:widowControl w:val="0"/>
        <w:suppressAutoHyphens/>
        <w:autoSpaceDN w:val="0"/>
        <w:ind w:firstLine="426"/>
        <w:jc w:val="both"/>
        <w:textAlignment w:val="baseline"/>
        <w:rPr>
          <w:rFonts w:eastAsia="Calibri"/>
          <w:iCs/>
          <w:kern w:val="3"/>
          <w:lang w:eastAsia="zh-CN" w:bidi="hi-IN"/>
        </w:rPr>
      </w:pPr>
    </w:p>
    <w:p w14:paraId="71A2B840" w14:textId="77777777" w:rsidR="00133097" w:rsidRPr="00A613C9" w:rsidRDefault="00A613C9" w:rsidP="00A613C9">
      <w:pPr>
        <w:widowControl w:val="0"/>
        <w:suppressAutoHyphens/>
        <w:autoSpaceDN w:val="0"/>
        <w:jc w:val="both"/>
        <w:textAlignment w:val="baseline"/>
        <w:rPr>
          <w:rFonts w:eastAsia="Calibri"/>
          <w:kern w:val="3"/>
          <w:lang w:eastAsia="zh-CN" w:bidi="hi-IN"/>
        </w:rPr>
      </w:pPr>
      <w:r>
        <w:rPr>
          <w:rFonts w:eastAsia="Calibri"/>
          <w:kern w:val="3"/>
          <w:lang w:eastAsia="zh-CN" w:bidi="hi-IN"/>
        </w:rPr>
        <w:t>Atbalstīt nodibinājuma</w:t>
      </w:r>
      <w:r w:rsidR="00E74824" w:rsidRPr="00A613C9">
        <w:rPr>
          <w:rFonts w:eastAsia="Calibri"/>
          <w:kern w:val="3"/>
          <w:lang w:eastAsia="zh-CN" w:bidi="hi-IN"/>
        </w:rPr>
        <w:t xml:space="preserve"> “</w:t>
      </w:r>
      <w:r>
        <w:rPr>
          <w:rFonts w:eastAsia="Calibri"/>
          <w:kern w:val="3"/>
          <w:lang w:eastAsia="zh-CN" w:bidi="hi-IN"/>
        </w:rPr>
        <w:t>Vidzemes attīstības aģentūra</w:t>
      </w:r>
      <w:r w:rsidR="00E74824" w:rsidRPr="00A613C9">
        <w:rPr>
          <w:rFonts w:eastAsia="Calibri"/>
          <w:kern w:val="3"/>
          <w:lang w:eastAsia="zh-CN" w:bidi="hi-IN"/>
        </w:rPr>
        <w:t>”, reģistrācijas Nr.</w:t>
      </w:r>
      <w:r w:rsidRPr="00A613C9">
        <w:t xml:space="preserve"> </w:t>
      </w:r>
      <w:r w:rsidRPr="00F14240">
        <w:t>44103020016</w:t>
      </w:r>
      <w:r>
        <w:t xml:space="preserve"> likvidāciju</w:t>
      </w:r>
    </w:p>
    <w:p w14:paraId="7AE28B39" w14:textId="77777777" w:rsidR="00305E4E" w:rsidRPr="00221FF4" w:rsidRDefault="00305E4E" w:rsidP="00305E4E">
      <w:pPr>
        <w:widowControl w:val="0"/>
        <w:suppressAutoHyphens/>
        <w:autoSpaceDN w:val="0"/>
        <w:jc w:val="both"/>
        <w:textAlignment w:val="baseline"/>
        <w:rPr>
          <w:rFonts w:eastAsia="Calibri"/>
          <w:kern w:val="3"/>
          <w:lang w:eastAsia="zh-CN" w:bidi="hi-IN"/>
        </w:rPr>
      </w:pPr>
      <w:r w:rsidRPr="1F664550">
        <w:rPr>
          <w:rFonts w:eastAsia="Calibri"/>
          <w:kern w:val="3"/>
          <w:lang w:eastAsia="zh-CN" w:bidi="hi-IN"/>
        </w:rPr>
        <w:t>Domes priekšsēdētājs</w:t>
      </w:r>
      <w:r>
        <w:rPr>
          <w:rFonts w:eastAsia="Calibri"/>
          <w:kern w:val="3"/>
          <w:lang w:eastAsia="zh-CN" w:bidi="hi-IN"/>
        </w:rPr>
        <w:tab/>
      </w:r>
      <w:r>
        <w:rPr>
          <w:rFonts w:eastAsia="Calibri"/>
          <w:kern w:val="3"/>
          <w:lang w:eastAsia="zh-CN" w:bidi="hi-IN"/>
        </w:rPr>
        <w:tab/>
      </w:r>
      <w:r>
        <w:rPr>
          <w:rFonts w:eastAsia="Calibri"/>
          <w:kern w:val="3"/>
          <w:lang w:eastAsia="zh-CN" w:bidi="hi-IN"/>
        </w:rPr>
        <w:tab/>
      </w:r>
      <w:r>
        <w:rPr>
          <w:rFonts w:eastAsia="Calibri"/>
          <w:kern w:val="3"/>
          <w:lang w:eastAsia="zh-CN" w:bidi="hi-IN"/>
        </w:rPr>
        <w:tab/>
      </w:r>
      <w:r>
        <w:rPr>
          <w:rFonts w:eastAsia="Calibri"/>
          <w:kern w:val="3"/>
          <w:lang w:eastAsia="zh-CN" w:bidi="hi-IN"/>
        </w:rPr>
        <w:tab/>
      </w:r>
      <w:r>
        <w:rPr>
          <w:rFonts w:eastAsia="Calibri"/>
          <w:kern w:val="3"/>
          <w:lang w:eastAsia="zh-CN" w:bidi="hi-IN"/>
        </w:rPr>
        <w:tab/>
      </w:r>
      <w:r>
        <w:rPr>
          <w:rFonts w:eastAsia="Calibri"/>
          <w:kern w:val="3"/>
          <w:lang w:eastAsia="zh-CN" w:bidi="hi-IN"/>
        </w:rPr>
        <w:tab/>
        <w:t>Dz.ADLERS</w:t>
      </w:r>
    </w:p>
    <w:p w14:paraId="6003FDEB" w14:textId="77777777" w:rsidR="00305E4E" w:rsidRPr="00AF1A2C" w:rsidRDefault="00305E4E" w:rsidP="00305E4E"/>
    <w:p w14:paraId="01C07A32" w14:textId="77777777" w:rsidR="00305E4E" w:rsidRPr="00E74824" w:rsidRDefault="00305E4E" w:rsidP="00305E4E">
      <w:pPr>
        <w:jc w:val="both"/>
        <w:rPr>
          <w:i/>
          <w:iCs/>
          <w:sz w:val="22"/>
          <w:szCs w:val="22"/>
          <w:highlight w:val="yellow"/>
        </w:rPr>
      </w:pPr>
    </w:p>
    <w:p w14:paraId="501C90FA" w14:textId="77777777" w:rsidR="006A0821" w:rsidRPr="00305E4E" w:rsidRDefault="006A0821" w:rsidP="00305E4E">
      <w:pPr>
        <w:jc w:val="both"/>
        <w:rPr>
          <w:i/>
          <w:iCs/>
          <w:sz w:val="22"/>
          <w:szCs w:val="22"/>
        </w:rPr>
      </w:pPr>
    </w:p>
    <w:sectPr w:rsidR="006A0821" w:rsidRPr="00305E4E" w:rsidSect="000F151D">
      <w:pgSz w:w="11906" w:h="16838"/>
      <w:pgMar w:top="993" w:right="1133"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D674A"/>
    <w:multiLevelType w:val="hybridMultilevel"/>
    <w:tmpl w:val="B33A3F4A"/>
    <w:lvl w:ilvl="0" w:tplc="848E9FA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16cid:durableId="1539509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4E"/>
    <w:rsid w:val="00053B6E"/>
    <w:rsid w:val="000A5C1D"/>
    <w:rsid w:val="000F151D"/>
    <w:rsid w:val="00124131"/>
    <w:rsid w:val="00133097"/>
    <w:rsid w:val="00163914"/>
    <w:rsid w:val="001A554D"/>
    <w:rsid w:val="001D4138"/>
    <w:rsid w:val="002703D0"/>
    <w:rsid w:val="00305E4E"/>
    <w:rsid w:val="00365D75"/>
    <w:rsid w:val="00381A3E"/>
    <w:rsid w:val="003D06D5"/>
    <w:rsid w:val="00502468"/>
    <w:rsid w:val="0068681D"/>
    <w:rsid w:val="006A0821"/>
    <w:rsid w:val="006B53D5"/>
    <w:rsid w:val="00722C3B"/>
    <w:rsid w:val="00826897"/>
    <w:rsid w:val="008D5264"/>
    <w:rsid w:val="00977ECC"/>
    <w:rsid w:val="009D0F57"/>
    <w:rsid w:val="00A00746"/>
    <w:rsid w:val="00A135C4"/>
    <w:rsid w:val="00A5679D"/>
    <w:rsid w:val="00A613C9"/>
    <w:rsid w:val="00B87A56"/>
    <w:rsid w:val="00BA33D9"/>
    <w:rsid w:val="00C34928"/>
    <w:rsid w:val="00D73307"/>
    <w:rsid w:val="00E74824"/>
    <w:rsid w:val="00F80F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B42E"/>
  <w15:chartTrackingRefBased/>
  <w15:docId w15:val="{0395271B-F2D1-4403-90A1-E19A8B6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5E4E"/>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305E4E"/>
    <w:pPr>
      <w:ind w:left="720"/>
      <w:contextualSpacing/>
    </w:p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305E4E"/>
    <w:rPr>
      <w:rFonts w:eastAsia="Times New Roman" w:cs="Times New Roman"/>
      <w:szCs w:val="24"/>
      <w:lang w:eastAsia="lv-LV"/>
    </w:rPr>
  </w:style>
  <w:style w:type="table" w:styleId="Reatabula">
    <w:name w:val="Table Grid"/>
    <w:basedOn w:val="Parastatabula"/>
    <w:uiPriority w:val="39"/>
    <w:rsid w:val="00977EC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124131"/>
    <w:pPr>
      <w:spacing w:before="100" w:beforeAutospacing="1" w:after="100" w:afterAutospacing="1"/>
    </w:pPr>
  </w:style>
  <w:style w:type="paragraph" w:styleId="Prskatjums">
    <w:name w:val="Revision"/>
    <w:hidden/>
    <w:uiPriority w:val="99"/>
    <w:semiHidden/>
    <w:rsid w:val="002703D0"/>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1961</Words>
  <Characters>1118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BUKANE</dc:creator>
  <cp:keywords/>
  <dc:description/>
  <cp:lastModifiedBy>Evita APLOKA</cp:lastModifiedBy>
  <cp:revision>7</cp:revision>
  <cp:lastPrinted>2023-06-14T06:30:00Z</cp:lastPrinted>
  <dcterms:created xsi:type="dcterms:W3CDTF">2023-06-16T11:42:00Z</dcterms:created>
  <dcterms:modified xsi:type="dcterms:W3CDTF">2023-06-26T10:43:00Z</dcterms:modified>
</cp:coreProperties>
</file>